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32522488" w14:textId="7875D2B2" w:rsidR="0038627F" w:rsidRDefault="00C467D0" w:rsidP="004A6CD6">
      <w:pPr>
        <w:jc w:val="center"/>
        <w:rPr>
          <w:b/>
          <w:sz w:val="32"/>
          <w:szCs w:val="32"/>
        </w:rPr>
      </w:pPr>
      <w:r w:rsidRPr="00C467D0">
        <w:rPr>
          <w:b/>
          <w:sz w:val="32"/>
          <w:szCs w:val="32"/>
        </w:rPr>
        <w:t>Comissão de Finanças e Orçamento</w:t>
      </w:r>
    </w:p>
    <w:p w14:paraId="5B20F092" w14:textId="77777777" w:rsidR="00C467D0" w:rsidRPr="00C467D0" w:rsidRDefault="00C467D0" w:rsidP="004A6CD6">
      <w:pPr>
        <w:jc w:val="center"/>
        <w:rPr>
          <w:rFonts w:cs="Arial"/>
          <w:b/>
          <w:sz w:val="36"/>
          <w:szCs w:val="36"/>
        </w:rPr>
      </w:pPr>
    </w:p>
    <w:p w14:paraId="14504D9A" w14:textId="0C72EF47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467D0">
        <w:rPr>
          <w:rFonts w:cs="Arial"/>
          <w:sz w:val="24"/>
        </w:rPr>
        <w:t>001</w:t>
      </w:r>
      <w:r w:rsidR="00C63A95">
        <w:rPr>
          <w:rFonts w:cs="Arial"/>
          <w:sz w:val="24"/>
        </w:rPr>
        <w:t>/202</w:t>
      </w:r>
      <w:r w:rsidR="00C467D0">
        <w:rPr>
          <w:rFonts w:cs="Arial"/>
          <w:sz w:val="24"/>
        </w:rPr>
        <w:t>3</w:t>
      </w:r>
    </w:p>
    <w:p w14:paraId="67BDB867" w14:textId="2AED302A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C467D0">
        <w:rPr>
          <w:rFonts w:cs="Arial"/>
          <w:bCs/>
          <w:iCs/>
          <w:sz w:val="24"/>
        </w:rPr>
        <w:t>3</w:t>
      </w:r>
      <w:r w:rsidR="00E2534C">
        <w:rPr>
          <w:rFonts w:cs="Arial"/>
          <w:bCs/>
          <w:iCs/>
          <w:sz w:val="24"/>
        </w:rPr>
        <w:t xml:space="preserve">, de </w:t>
      </w:r>
      <w:r w:rsidR="00C467D0">
        <w:rPr>
          <w:rFonts w:cs="Arial"/>
          <w:bCs/>
          <w:iCs/>
          <w:sz w:val="24"/>
        </w:rPr>
        <w:t>03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C467D0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74582EBE" w14:textId="10169D10" w:rsidR="00C63A95" w:rsidRPr="00C467D0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C467D0">
        <w:rPr>
          <w:rFonts w:cs="Arial"/>
          <w:bCs/>
          <w:iCs/>
          <w:sz w:val="22"/>
          <w:szCs w:val="22"/>
        </w:rPr>
        <w:t>“</w:t>
      </w:r>
      <w:r w:rsidR="00C467D0" w:rsidRPr="00C467D0">
        <w:rPr>
          <w:sz w:val="24"/>
          <w:szCs w:val="22"/>
        </w:rPr>
        <w:t>Abre créditos adicionais suplementares no orçamento de 2023 e indica recursos.</w:t>
      </w:r>
      <w:r w:rsidR="00FA76C3" w:rsidRPr="00C467D0">
        <w:rPr>
          <w:rFonts w:cs="Arial"/>
          <w:sz w:val="22"/>
          <w:szCs w:val="22"/>
        </w:rPr>
        <w:t>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0C936B0A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C467D0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janeiro de 2022</w:t>
      </w:r>
    </w:p>
    <w:p w14:paraId="48F59634" w14:textId="7777777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08AE888C" w14:textId="77777777" w:rsidR="004D6A7A" w:rsidRDefault="000A7F54" w:rsidP="004D6A7A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C467D0">
        <w:rPr>
          <w:rFonts w:cs="Arial"/>
          <w:sz w:val="24"/>
        </w:rPr>
        <w:t>3</w:t>
      </w:r>
      <w:r w:rsidR="00BD235D">
        <w:rPr>
          <w:rFonts w:cs="Arial"/>
          <w:sz w:val="24"/>
        </w:rPr>
        <w:t>/202</w:t>
      </w:r>
      <w:r w:rsidR="00C467D0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C467D0">
        <w:rPr>
          <w:rFonts w:cs="Arial"/>
          <w:sz w:val="24"/>
        </w:rPr>
        <w:t>04</w:t>
      </w:r>
      <w:r w:rsidR="00A02AB3">
        <w:rPr>
          <w:rFonts w:cs="Arial"/>
          <w:sz w:val="24"/>
        </w:rPr>
        <w:t>/01/202</w:t>
      </w:r>
      <w:r w:rsidR="00C467D0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C467D0">
        <w:rPr>
          <w:rFonts w:cs="Arial"/>
          <w:sz w:val="24"/>
        </w:rPr>
        <w:t>09</w:t>
      </w:r>
      <w:r w:rsidR="00A20079">
        <w:rPr>
          <w:rFonts w:cs="Arial"/>
          <w:sz w:val="24"/>
        </w:rPr>
        <w:t xml:space="preserve"> de </w:t>
      </w:r>
      <w:r w:rsidR="00C467D0">
        <w:rPr>
          <w:rFonts w:cs="Arial"/>
          <w:sz w:val="24"/>
        </w:rPr>
        <w:t>jan</w:t>
      </w:r>
      <w:r w:rsidR="00A20079">
        <w:rPr>
          <w:rFonts w:cs="Arial"/>
          <w:sz w:val="24"/>
        </w:rPr>
        <w:t>eiro de 202</w:t>
      </w:r>
      <w:r w:rsidR="00C467D0">
        <w:rPr>
          <w:rFonts w:cs="Arial"/>
          <w:sz w:val="24"/>
        </w:rPr>
        <w:t>3</w:t>
      </w:r>
      <w:r w:rsidR="00994164">
        <w:rPr>
          <w:rFonts w:cs="Arial"/>
          <w:sz w:val="24"/>
        </w:rPr>
        <w:t xml:space="preserve">, e foi encaminhado para </w:t>
      </w:r>
      <w:r w:rsidR="003A71E8">
        <w:rPr>
          <w:rFonts w:cs="Arial"/>
          <w:sz w:val="24"/>
        </w:rPr>
        <w:t>esta Comissão</w:t>
      </w:r>
      <w:r w:rsidR="00C467D0">
        <w:rPr>
          <w:rFonts w:cs="Arial"/>
          <w:sz w:val="24"/>
        </w:rPr>
        <w:t xml:space="preserve"> no dia 05 de janeiro</w:t>
      </w:r>
      <w:r w:rsidR="00994164">
        <w:rPr>
          <w:rFonts w:cs="Arial"/>
          <w:sz w:val="24"/>
        </w:rPr>
        <w:t xml:space="preserve">. </w:t>
      </w:r>
      <w:r w:rsidR="004D6A7A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Default="003A71E8" w:rsidP="004D6A7A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3EC792BA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C467D0" w:rsidRPr="00C467D0">
        <w:rPr>
          <w:bCs/>
          <w:sz w:val="24"/>
        </w:rPr>
        <w:t>Comissão de Finanças e Orçamento</w:t>
      </w:r>
      <w:r w:rsidR="000B31BE">
        <w:rPr>
          <w:sz w:val="24"/>
        </w:rPr>
        <w:t>,</w:t>
      </w:r>
      <w:r w:rsidR="00E73481" w:rsidRPr="00E73481">
        <w:rPr>
          <w:sz w:val="24"/>
        </w:rPr>
        <w:t xml:space="preserve"> em reunião realizada no dia </w:t>
      </w:r>
      <w:r w:rsidR="00C467D0">
        <w:rPr>
          <w:sz w:val="24"/>
        </w:rPr>
        <w:t>05</w:t>
      </w:r>
      <w:r w:rsidR="00E73481" w:rsidRPr="00E73481">
        <w:rPr>
          <w:sz w:val="24"/>
        </w:rPr>
        <w:t xml:space="preserve"> de </w:t>
      </w:r>
      <w:r w:rsidR="00C467D0">
        <w:rPr>
          <w:sz w:val="24"/>
        </w:rPr>
        <w:t>jan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>de 202</w:t>
      </w:r>
      <w:r w:rsidR="00C467D0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C467D0">
        <w:rPr>
          <w:sz w:val="24"/>
        </w:rPr>
        <w:t>3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77777777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9F5ED3B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 w:rsidR="00C467D0">
        <w:rPr>
          <w:rFonts w:cs="Arial"/>
          <w:sz w:val="24"/>
        </w:rPr>
        <w:t>Morgana Zarpelon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22610297" w14:textId="575A96AD" w:rsidR="001D6F4D" w:rsidRDefault="0072102D" w:rsidP="00C467D0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C467D0">
        <w:rPr>
          <w:sz w:val="24"/>
        </w:rPr>
        <w:t>Patrícia Lúcia Bagatini</w:t>
      </w: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FD27" w14:textId="77777777" w:rsidR="00EC4036" w:rsidRDefault="00EC4036">
      <w:r>
        <w:separator/>
      </w:r>
    </w:p>
  </w:endnote>
  <w:endnote w:type="continuationSeparator" w:id="0">
    <w:p w14:paraId="311BDC29" w14:textId="77777777" w:rsidR="00EC4036" w:rsidRDefault="00EC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58F8" w14:textId="77777777" w:rsidR="00EC4036" w:rsidRDefault="00EC4036">
      <w:r>
        <w:separator/>
      </w:r>
    </w:p>
  </w:footnote>
  <w:footnote w:type="continuationSeparator" w:id="0">
    <w:p w14:paraId="751AA5DF" w14:textId="77777777" w:rsidR="00EC4036" w:rsidRDefault="00EC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2022-02-01T22:13:00Z</cp:lastPrinted>
  <dcterms:created xsi:type="dcterms:W3CDTF">2023-01-09T19:28:00Z</dcterms:created>
  <dcterms:modified xsi:type="dcterms:W3CDTF">2023-01-09T19:31:00Z</dcterms:modified>
</cp:coreProperties>
</file>